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Sölvesborg kommunfullmäktige</w:t>
      </w:r>
    </w:p>
    <w:p>
      <w:pPr>
        <w:pStyle w:val="Heading1"/>
      </w:pPr>
      <w:r>
        <w:t xml:space="preserve">Snabbare och enklare bygglovsprocess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Sölvesborg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Sölvesborg rankas 187 av 290 kommuner i företagsklimat 2024 (Svenskt Näringsliv). Handläggningstider för bygglov överstiger ofta 10 veckor. Detta hämmar bostadsbyggande och turismrelaterade investeringar vid hamnen.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Sölvesborg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digitalt bygglovssystem med 6-veckors handläggningsgaranti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uppdra åt miljö- och byggnadsnämnden att redovisa handläggningstider kvartalsvis.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medel för två extra handläggare under 2026–2027.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införa förhandsbesked inom 3 veckor för enkla ärenden.</w:t>
      </w:r>
    </w:p>
    <w:p>
      <w:pPr>
        <w:spacing w:before="360"/>
      </w:pPr>
    </w:p>
    <w:p>
      <w:r>
        <w:t xml:space="preserve">Sölvesborg,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Sölvesborg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2026-07-14T05:17:51.321Z</dcterms:created>
  <dcterms:modified xsi:type="dcterms:W3CDTF">2026-07-14T05:17:51.321Z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